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1036" w14:textId="43327A1A" w:rsidR="002A246C" w:rsidRPr="00B73A91" w:rsidRDefault="00DB3AF9" w:rsidP="00B73A91">
      <w:pPr>
        <w:pStyle w:val="Titre"/>
        <w:jc w:val="center"/>
        <w:rPr>
          <w:sz w:val="52"/>
          <w:szCs w:val="52"/>
        </w:rPr>
      </w:pPr>
      <w:r w:rsidRPr="00B73A91">
        <w:rPr>
          <w:sz w:val="52"/>
          <w:szCs w:val="52"/>
        </w:rPr>
        <w:t xml:space="preserve">Note à destination du COPIL Natura 2000 </w:t>
      </w:r>
      <w:r w:rsidR="009B2963">
        <w:rPr>
          <w:sz w:val="52"/>
          <w:szCs w:val="52"/>
        </w:rPr>
        <w:t>« </w:t>
      </w:r>
      <w:r w:rsidRPr="00B73A91">
        <w:rPr>
          <w:sz w:val="52"/>
          <w:szCs w:val="52"/>
        </w:rPr>
        <w:t>Estuaire et Baie de Vilaine</w:t>
      </w:r>
      <w:r w:rsidR="009B2963">
        <w:rPr>
          <w:sz w:val="52"/>
          <w:szCs w:val="52"/>
        </w:rPr>
        <w:t> »</w:t>
      </w:r>
    </w:p>
    <w:p w14:paraId="25423482" w14:textId="6A19E55D" w:rsidR="00623919" w:rsidRDefault="00623919" w:rsidP="00B73A91">
      <w:pPr>
        <w:pStyle w:val="Titre"/>
        <w:jc w:val="center"/>
      </w:pPr>
      <w:r>
        <w:rPr>
          <w:noProof/>
        </w:rPr>
        <w:drawing>
          <wp:inline distT="0" distB="0" distL="0" distR="0" wp14:anchorId="78101332" wp14:editId="2BFF6913">
            <wp:extent cx="704850" cy="5769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13" cy="58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A6A5" w14:textId="77777777" w:rsidR="00B73A91" w:rsidRPr="00B73A91" w:rsidRDefault="00B73A91" w:rsidP="007C4F30">
      <w:pPr>
        <w:pBdr>
          <w:bottom w:val="single" w:sz="4" w:space="1" w:color="auto"/>
        </w:pBdr>
      </w:pPr>
    </w:p>
    <w:p w14:paraId="0C39C071" w14:textId="58188E49" w:rsidR="007C4F30" w:rsidRDefault="007C4F30" w:rsidP="00AF5638">
      <w:pPr>
        <w:pStyle w:val="Titre1"/>
      </w:pPr>
      <w:r>
        <w:t>Objet</w:t>
      </w:r>
    </w:p>
    <w:p w14:paraId="3D53677E" w14:textId="32EFB642" w:rsidR="007C4F30" w:rsidRPr="007C4F30" w:rsidRDefault="009454CE" w:rsidP="002641D6">
      <w:pPr>
        <w:jc w:val="both"/>
      </w:pPr>
      <w:r w:rsidRPr="009454CE">
        <w:t>Cette</w:t>
      </w:r>
      <w:r w:rsidR="0018102D">
        <w:t xml:space="preserve"> note </w:t>
      </w:r>
      <w:r w:rsidRPr="009454CE">
        <w:t>donne le cadre de préfiguration</w:t>
      </w:r>
      <w:r w:rsidR="0018102D">
        <w:t xml:space="preserve"> des </w:t>
      </w:r>
      <w:r w:rsidRPr="009454CE">
        <w:t>« Objectifs</w:t>
      </w:r>
      <w:r w:rsidR="0018102D">
        <w:t xml:space="preserve"> à long terme et opérationnels</w:t>
      </w:r>
      <w:r w:rsidR="000751AC">
        <w:t> »</w:t>
      </w:r>
      <w:r w:rsidR="0018102D">
        <w:t xml:space="preserve"> du DOCOB</w:t>
      </w:r>
      <w:r w:rsidR="002641D6">
        <w:t xml:space="preserve"> pour les sites natura 2000 « Estuaire et Baie de Vilaine ».</w:t>
      </w:r>
      <w:r w:rsidR="00476701">
        <w:t xml:space="preserve"> </w:t>
      </w:r>
      <w:r w:rsidR="00F84057">
        <w:t>Elle</w:t>
      </w:r>
      <w:r w:rsidR="00476701">
        <w:t xml:space="preserve"> est soumise à consultation du COPIL</w:t>
      </w:r>
      <w:r w:rsidR="00F5464E">
        <w:t>.</w:t>
      </w:r>
    </w:p>
    <w:p w14:paraId="4CFA36CD" w14:textId="33463902" w:rsidR="00A55A5D" w:rsidRDefault="002B707A" w:rsidP="00AF5638">
      <w:pPr>
        <w:pStyle w:val="Titre1"/>
      </w:pPr>
      <w:r>
        <w:t>Contexte</w:t>
      </w:r>
    </w:p>
    <w:p w14:paraId="2C10B6A3" w14:textId="2805D20D" w:rsidR="00AF3675" w:rsidRDefault="000074A9" w:rsidP="000074A9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81135" wp14:editId="62B915FD">
            <wp:simplePos x="0" y="0"/>
            <wp:positionH relativeFrom="column">
              <wp:posOffset>-809625</wp:posOffset>
            </wp:positionH>
            <wp:positionV relativeFrom="paragraph">
              <wp:posOffset>139700</wp:posOffset>
            </wp:positionV>
            <wp:extent cx="3057525" cy="27432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"/>
                    <a:stretch/>
                  </pic:blipFill>
                  <pic:spPr bwMode="auto">
                    <a:xfrm>
                      <a:off x="0" y="0"/>
                      <a:ext cx="30575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57A">
        <w:t>L’</w:t>
      </w:r>
      <w:r w:rsidR="00AF3675">
        <w:t>élaboration du DOCOB</w:t>
      </w:r>
      <w:r w:rsidR="0036057A">
        <w:t xml:space="preserve"> pour les sites Natura 2000 « Estuaire et Baie de Vilaine » </w:t>
      </w:r>
      <w:r w:rsidR="00116892">
        <w:t>est réalisée selon la méthodologie préconisée par</w:t>
      </w:r>
      <w:r w:rsidR="00F76038">
        <w:t xml:space="preserve"> l’OFB</w:t>
      </w:r>
      <w:r w:rsidR="00EF0A52">
        <w:rPr>
          <w:rStyle w:val="Appelnotedebasdep"/>
        </w:rPr>
        <w:footnoteReference w:id="2"/>
      </w:r>
      <w:r w:rsidR="00F76038">
        <w:t xml:space="preserve"> </w:t>
      </w:r>
      <w:r w:rsidR="00EF0A52">
        <w:t>.</w:t>
      </w:r>
      <w:r w:rsidR="009710BE">
        <w:t xml:space="preserve"> </w:t>
      </w:r>
      <w:r w:rsidR="00623919">
        <w:t>L’EPTB Vilaine est opérateur du site et est appuyé techniquement</w:t>
      </w:r>
      <w:r w:rsidR="002D38BD">
        <w:t xml:space="preserve"> entre autres</w:t>
      </w:r>
      <w:r w:rsidR="00623919">
        <w:t xml:space="preserve"> par l’OFB et CAP atlantique.</w:t>
      </w:r>
    </w:p>
    <w:p w14:paraId="6CBD3454" w14:textId="644BE5CA" w:rsidR="0014077F" w:rsidRDefault="000B4681" w:rsidP="004B4B80">
      <w:pPr>
        <w:jc w:val="both"/>
      </w:pPr>
      <w:r>
        <w:t xml:space="preserve">Depuis fin 2019, le travail a consisté </w:t>
      </w:r>
      <w:r w:rsidR="008E53B3">
        <w:t xml:space="preserve">en la réalisation de l’état des </w:t>
      </w:r>
      <w:r w:rsidR="00FA0453">
        <w:t>lieux, à savoir</w:t>
      </w:r>
      <w:r>
        <w:t xml:space="preserve"> les diagnostics </w:t>
      </w:r>
      <w:r w:rsidR="00FA0453">
        <w:t>socio-économique</w:t>
      </w:r>
      <w:r w:rsidR="00FA0453" w:rsidRPr="00FA0453">
        <w:t xml:space="preserve"> </w:t>
      </w:r>
      <w:r w:rsidR="00FA0453">
        <w:t>et écologique du territoire.</w:t>
      </w:r>
      <w:r w:rsidR="005B1D3D">
        <w:t xml:space="preserve"> </w:t>
      </w:r>
    </w:p>
    <w:p w14:paraId="05B06D79" w14:textId="1869E201" w:rsidR="005B1D3D" w:rsidRDefault="009861A8" w:rsidP="004B4B80">
      <w:pPr>
        <w:jc w:val="both"/>
      </w:pPr>
      <w:r>
        <w:t>En 2021</w:t>
      </w:r>
      <w:r w:rsidR="005B1D3D">
        <w:t xml:space="preserve">, le croisement de ces données a permis de donner un niveau de priorité pour chacun des </w:t>
      </w:r>
      <w:r w:rsidR="000A0873">
        <w:t xml:space="preserve">habitats </w:t>
      </w:r>
      <w:r w:rsidR="000751AC">
        <w:t>(milieux naturels)</w:t>
      </w:r>
      <w:r w:rsidR="000A0873">
        <w:t xml:space="preserve"> et chacune des </w:t>
      </w:r>
      <w:r w:rsidR="005B1D3D">
        <w:t>esp</w:t>
      </w:r>
      <w:r w:rsidR="000A0873">
        <w:t xml:space="preserve">èces ayant </w:t>
      </w:r>
      <w:r w:rsidR="000751AC">
        <w:t>justifiés</w:t>
      </w:r>
      <w:r w:rsidR="000A0873">
        <w:t xml:space="preserve"> la désignation du site (Habitat et </w:t>
      </w:r>
      <w:r w:rsidR="00F85F54">
        <w:t>Espèce</w:t>
      </w:r>
      <w:r w:rsidR="000A0873">
        <w:t xml:space="preserve"> d’intérêt </w:t>
      </w:r>
      <w:r w:rsidR="00FC5535">
        <w:t>européen</w:t>
      </w:r>
      <w:r w:rsidR="00F85F54">
        <w:t>)</w:t>
      </w:r>
      <w:r w:rsidR="00A76F72">
        <w:t>.</w:t>
      </w:r>
    </w:p>
    <w:p w14:paraId="55BCEBE3" w14:textId="77777777" w:rsidR="000074A9" w:rsidRDefault="000074A9" w:rsidP="004B4B80">
      <w:pPr>
        <w:jc w:val="both"/>
      </w:pPr>
    </w:p>
    <w:p w14:paraId="4FB9265C" w14:textId="77777777" w:rsidR="002247B4" w:rsidRDefault="002247B4" w:rsidP="004B4B80">
      <w:pPr>
        <w:jc w:val="both"/>
      </w:pPr>
    </w:p>
    <w:p w14:paraId="0628688A" w14:textId="31100C6B" w:rsidR="000A5092" w:rsidRDefault="000A5092" w:rsidP="004B4B80">
      <w:pPr>
        <w:jc w:val="both"/>
      </w:pPr>
      <w:r>
        <w:t>Les dernières versions des diagnostics sont disponibles en téléchargement</w:t>
      </w:r>
      <w:r w:rsidR="00F33F81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193"/>
      </w:tblGrid>
      <w:tr w:rsidR="001C5708" w14:paraId="2A51918F" w14:textId="77777777" w:rsidTr="00BE7772">
        <w:tc>
          <w:tcPr>
            <w:tcW w:w="3823" w:type="dxa"/>
            <w:gridSpan w:val="2"/>
          </w:tcPr>
          <w:p w14:paraId="521FC528" w14:textId="6C40F466" w:rsidR="001C5708" w:rsidRDefault="001C5708" w:rsidP="001C5708">
            <w:pPr>
              <w:jc w:val="center"/>
            </w:pPr>
            <w:r>
              <w:t>Etat des lieux, diagnostic</w:t>
            </w:r>
          </w:p>
        </w:tc>
        <w:tc>
          <w:tcPr>
            <w:tcW w:w="5193" w:type="dxa"/>
          </w:tcPr>
          <w:p w14:paraId="27DB7CDA" w14:textId="6C5F4DA9" w:rsidR="001C5708" w:rsidRDefault="001C5708" w:rsidP="001C5708">
            <w:pPr>
              <w:jc w:val="center"/>
            </w:pPr>
            <w:r>
              <w:t>Lien vers les documents</w:t>
            </w:r>
          </w:p>
        </w:tc>
      </w:tr>
      <w:tr w:rsidR="007709C6" w14:paraId="70954A31" w14:textId="77777777" w:rsidTr="00860BE6">
        <w:tc>
          <w:tcPr>
            <w:tcW w:w="1413" w:type="dxa"/>
            <w:vMerge w:val="restart"/>
            <w:vAlign w:val="center"/>
          </w:tcPr>
          <w:p w14:paraId="19ED44A4" w14:textId="401D96AA" w:rsidR="007709C6" w:rsidRDefault="007709C6" w:rsidP="004B4B80">
            <w:pPr>
              <w:jc w:val="both"/>
            </w:pPr>
            <w:r>
              <w:t>Diagnostic écologique</w:t>
            </w:r>
          </w:p>
        </w:tc>
        <w:tc>
          <w:tcPr>
            <w:tcW w:w="2410" w:type="dxa"/>
          </w:tcPr>
          <w:p w14:paraId="1649F70A" w14:textId="1A892215" w:rsidR="007709C6" w:rsidRDefault="007709C6" w:rsidP="004B4B80">
            <w:pPr>
              <w:jc w:val="both"/>
            </w:pPr>
            <w:r>
              <w:t>Habitats marins</w:t>
            </w:r>
          </w:p>
        </w:tc>
        <w:tc>
          <w:tcPr>
            <w:tcW w:w="5193" w:type="dxa"/>
          </w:tcPr>
          <w:p w14:paraId="2E96F72D" w14:textId="39C2474E" w:rsidR="007709C6" w:rsidRDefault="0073212B" w:rsidP="004B4B80">
            <w:pPr>
              <w:jc w:val="both"/>
            </w:pPr>
            <w:hyperlink r:id="rId13" w:history="1">
              <w:r w:rsidR="00FE4E62" w:rsidRPr="002F7D16">
                <w:rPr>
                  <w:rStyle w:val="Lienhypertexte"/>
                </w:rPr>
                <w:t>https://ged.ofb.fr/share/s/mLXwEcY6SAaNKbKxECclCw</w:t>
              </w:r>
            </w:hyperlink>
            <w:r w:rsidR="00FE4E62">
              <w:t xml:space="preserve"> </w:t>
            </w:r>
            <w:r w:rsidR="00DF7857">
              <w:t xml:space="preserve"> </w:t>
            </w:r>
          </w:p>
        </w:tc>
      </w:tr>
      <w:tr w:rsidR="00860BE6" w14:paraId="76E582F2" w14:textId="77777777" w:rsidTr="00860BE6">
        <w:tc>
          <w:tcPr>
            <w:tcW w:w="1413" w:type="dxa"/>
            <w:vMerge/>
          </w:tcPr>
          <w:p w14:paraId="426FC116" w14:textId="77777777" w:rsidR="00860BE6" w:rsidRDefault="00860BE6" w:rsidP="00860BE6">
            <w:pPr>
              <w:jc w:val="both"/>
            </w:pPr>
          </w:p>
        </w:tc>
        <w:tc>
          <w:tcPr>
            <w:tcW w:w="2410" w:type="dxa"/>
          </w:tcPr>
          <w:p w14:paraId="2A4C39A1" w14:textId="0EBEA294" w:rsidR="00860BE6" w:rsidRDefault="00860BE6" w:rsidP="00860BE6">
            <w:pPr>
              <w:jc w:val="both"/>
            </w:pPr>
            <w:r>
              <w:t>Habitats terrestres, faune et flore associées</w:t>
            </w:r>
          </w:p>
        </w:tc>
        <w:tc>
          <w:tcPr>
            <w:tcW w:w="5193" w:type="dxa"/>
          </w:tcPr>
          <w:p w14:paraId="494BAAD5" w14:textId="7686C340" w:rsidR="00860BE6" w:rsidRDefault="0073212B" w:rsidP="00860BE6">
            <w:pPr>
              <w:jc w:val="both"/>
            </w:pPr>
            <w:hyperlink r:id="rId14" w:history="1">
              <w:r w:rsidR="00860BE6" w:rsidRPr="002F7D16">
                <w:rPr>
                  <w:rStyle w:val="Lienhypertexte"/>
                </w:rPr>
                <w:t>https://ged.ofb.fr/share/s/YEsSBpUPSwOVDs8AiAKsYg</w:t>
              </w:r>
            </w:hyperlink>
            <w:r w:rsidR="00860BE6">
              <w:t xml:space="preserve"> </w:t>
            </w:r>
          </w:p>
        </w:tc>
      </w:tr>
      <w:tr w:rsidR="00860BE6" w14:paraId="5179A402" w14:textId="77777777" w:rsidTr="00860BE6">
        <w:tc>
          <w:tcPr>
            <w:tcW w:w="1413" w:type="dxa"/>
            <w:vMerge/>
          </w:tcPr>
          <w:p w14:paraId="2DA3BD3F" w14:textId="77777777" w:rsidR="00860BE6" w:rsidRDefault="00860BE6" w:rsidP="00860BE6">
            <w:pPr>
              <w:jc w:val="both"/>
            </w:pPr>
          </w:p>
        </w:tc>
        <w:tc>
          <w:tcPr>
            <w:tcW w:w="2410" w:type="dxa"/>
          </w:tcPr>
          <w:p w14:paraId="5DDD6863" w14:textId="29FEC3A1" w:rsidR="00860BE6" w:rsidRDefault="00860BE6" w:rsidP="00860BE6">
            <w:pPr>
              <w:jc w:val="both"/>
            </w:pPr>
            <w:r>
              <w:t>Oiseaux marins</w:t>
            </w:r>
          </w:p>
        </w:tc>
        <w:tc>
          <w:tcPr>
            <w:tcW w:w="5193" w:type="dxa"/>
          </w:tcPr>
          <w:p w14:paraId="11FA7C27" w14:textId="1A0FD695" w:rsidR="00860BE6" w:rsidRDefault="0073212B" w:rsidP="00860BE6">
            <w:pPr>
              <w:jc w:val="both"/>
            </w:pPr>
            <w:hyperlink r:id="rId15" w:history="1">
              <w:r w:rsidR="00860BE6" w:rsidRPr="002F7D16">
                <w:rPr>
                  <w:rStyle w:val="Lienhypertexte"/>
                </w:rPr>
                <w:t>https://ged.ofb.fr/share/s/euyWT0JqR0-dQRHbTFhXiw</w:t>
              </w:r>
            </w:hyperlink>
            <w:r w:rsidR="00860BE6">
              <w:t xml:space="preserve"> </w:t>
            </w:r>
          </w:p>
        </w:tc>
      </w:tr>
      <w:tr w:rsidR="00860BE6" w14:paraId="4534CB47" w14:textId="77777777" w:rsidTr="00860BE6">
        <w:tc>
          <w:tcPr>
            <w:tcW w:w="1413" w:type="dxa"/>
            <w:vMerge/>
          </w:tcPr>
          <w:p w14:paraId="106C6955" w14:textId="77777777" w:rsidR="00860BE6" w:rsidRDefault="00860BE6" w:rsidP="00860BE6">
            <w:pPr>
              <w:jc w:val="both"/>
            </w:pPr>
          </w:p>
        </w:tc>
        <w:tc>
          <w:tcPr>
            <w:tcW w:w="2410" w:type="dxa"/>
          </w:tcPr>
          <w:p w14:paraId="4295B146" w14:textId="2E9E9F50" w:rsidR="00860BE6" w:rsidRDefault="00860BE6" w:rsidP="00860BE6">
            <w:pPr>
              <w:jc w:val="both"/>
            </w:pPr>
            <w:r>
              <w:t>Oiseaux terrestres</w:t>
            </w:r>
          </w:p>
        </w:tc>
        <w:tc>
          <w:tcPr>
            <w:tcW w:w="5193" w:type="dxa"/>
          </w:tcPr>
          <w:p w14:paraId="03BEAE63" w14:textId="097C5201" w:rsidR="00860BE6" w:rsidRDefault="0073212B" w:rsidP="00860BE6">
            <w:pPr>
              <w:jc w:val="both"/>
            </w:pPr>
            <w:hyperlink r:id="rId16" w:history="1">
              <w:r w:rsidR="00860BE6" w:rsidRPr="002F7D16">
                <w:rPr>
                  <w:rStyle w:val="Lienhypertexte"/>
                </w:rPr>
                <w:t>https://ged.ofb.fr/share/s/b9MICnByTMywTLAttdh_dg</w:t>
              </w:r>
            </w:hyperlink>
          </w:p>
        </w:tc>
      </w:tr>
      <w:tr w:rsidR="0078157E" w14:paraId="24D9E0FE" w14:textId="77777777" w:rsidTr="004B03EC">
        <w:tc>
          <w:tcPr>
            <w:tcW w:w="1413" w:type="dxa"/>
            <w:vMerge w:val="restart"/>
          </w:tcPr>
          <w:p w14:paraId="16C332D2" w14:textId="77777777" w:rsidR="0078157E" w:rsidRDefault="0078157E" w:rsidP="00860BE6">
            <w:pPr>
              <w:jc w:val="both"/>
            </w:pPr>
            <w:r>
              <w:t>Diagnostic socio-économique</w:t>
            </w:r>
          </w:p>
        </w:tc>
        <w:tc>
          <w:tcPr>
            <w:tcW w:w="2410" w:type="dxa"/>
          </w:tcPr>
          <w:p w14:paraId="740FF6AB" w14:textId="389B4D10" w:rsidR="0078157E" w:rsidRDefault="0078157E" w:rsidP="00860BE6">
            <w:pPr>
              <w:jc w:val="both"/>
            </w:pPr>
            <w:r>
              <w:t>Synthèse</w:t>
            </w:r>
          </w:p>
        </w:tc>
        <w:tc>
          <w:tcPr>
            <w:tcW w:w="5193" w:type="dxa"/>
          </w:tcPr>
          <w:p w14:paraId="2376EFCA" w14:textId="1170D0DF" w:rsidR="0078157E" w:rsidRDefault="0073212B" w:rsidP="00860BE6">
            <w:pPr>
              <w:jc w:val="both"/>
            </w:pPr>
            <w:hyperlink r:id="rId17" w:history="1">
              <w:r w:rsidR="008C69D3" w:rsidRPr="002F7D16">
                <w:rPr>
                  <w:rStyle w:val="Lienhypertexte"/>
                </w:rPr>
                <w:t>https://ged.ofb.fr/share/s/r9XXtsSJSwSjj1hE0nQVIg</w:t>
              </w:r>
            </w:hyperlink>
            <w:r w:rsidR="008C69D3">
              <w:t xml:space="preserve"> </w:t>
            </w:r>
          </w:p>
        </w:tc>
      </w:tr>
      <w:tr w:rsidR="0078157E" w14:paraId="110978F9" w14:textId="77777777" w:rsidTr="0078157E">
        <w:tc>
          <w:tcPr>
            <w:tcW w:w="1413" w:type="dxa"/>
            <w:vMerge/>
          </w:tcPr>
          <w:p w14:paraId="55913CD7" w14:textId="77777777" w:rsidR="0078157E" w:rsidRDefault="0078157E" w:rsidP="00860BE6">
            <w:pPr>
              <w:jc w:val="both"/>
            </w:pPr>
          </w:p>
        </w:tc>
        <w:tc>
          <w:tcPr>
            <w:tcW w:w="2410" w:type="dxa"/>
          </w:tcPr>
          <w:p w14:paraId="55C46692" w14:textId="7E47EC60" w:rsidR="0078157E" w:rsidRDefault="0078157E" w:rsidP="00860BE6">
            <w:pPr>
              <w:jc w:val="both"/>
            </w:pPr>
            <w:r>
              <w:t>Diagnostic pêche professionnelle réalisé par le CRPMEM</w:t>
            </w:r>
          </w:p>
        </w:tc>
        <w:tc>
          <w:tcPr>
            <w:tcW w:w="5193" w:type="dxa"/>
          </w:tcPr>
          <w:p w14:paraId="6A9FD70A" w14:textId="5446123D" w:rsidR="0078157E" w:rsidRDefault="0073212B" w:rsidP="00860BE6">
            <w:pPr>
              <w:jc w:val="both"/>
            </w:pPr>
            <w:hyperlink r:id="rId18" w:history="1">
              <w:r w:rsidR="00250882" w:rsidRPr="002F7D16">
                <w:rPr>
                  <w:rStyle w:val="Lienhypertexte"/>
                </w:rPr>
                <w:t>https://ged.ofb.fr/share/s/GaufBYOjTbuY1xu17BjjXA</w:t>
              </w:r>
            </w:hyperlink>
            <w:r w:rsidR="00250882">
              <w:t xml:space="preserve"> </w:t>
            </w:r>
          </w:p>
        </w:tc>
      </w:tr>
    </w:tbl>
    <w:p w14:paraId="424BFF18" w14:textId="77777777" w:rsidR="00341B92" w:rsidRDefault="00341B92" w:rsidP="004B4B80">
      <w:pPr>
        <w:jc w:val="both"/>
      </w:pPr>
    </w:p>
    <w:p w14:paraId="0DE18A7B" w14:textId="69BA602F" w:rsidR="00785F10" w:rsidRDefault="002247B4" w:rsidP="00BB483C">
      <w:pPr>
        <w:pStyle w:val="Titre1"/>
      </w:pPr>
      <w:r>
        <w:lastRenderedPageBreak/>
        <w:t>D</w:t>
      </w:r>
      <w:r w:rsidR="00793FD9">
        <w:t xml:space="preserve">éfinition des </w:t>
      </w:r>
      <w:r w:rsidR="00BB483C">
        <w:t>objectifs</w:t>
      </w:r>
      <w:r>
        <w:t xml:space="preserve"> de conservation</w:t>
      </w:r>
    </w:p>
    <w:p w14:paraId="00F4C5ED" w14:textId="62C03111" w:rsidR="00EE4D6D" w:rsidRDefault="00EE4D6D" w:rsidP="008A7D69">
      <w:pPr>
        <w:jc w:val="both"/>
      </w:pPr>
      <w:r>
        <w:t xml:space="preserve">Il s’agit de définir </w:t>
      </w:r>
      <w:r w:rsidR="002247B4">
        <w:t>deux</w:t>
      </w:r>
      <w:r>
        <w:t xml:space="preserve"> types d’objectif</w:t>
      </w:r>
      <w:r w:rsidR="00170115">
        <w:t>s :</w:t>
      </w:r>
    </w:p>
    <w:p w14:paraId="216AC122" w14:textId="32A46BED" w:rsidR="0043123A" w:rsidRDefault="00170115" w:rsidP="0043123A">
      <w:pPr>
        <w:pStyle w:val="Paragraphedeliste"/>
        <w:numPr>
          <w:ilvl w:val="0"/>
          <w:numId w:val="1"/>
        </w:numPr>
        <w:jc w:val="both"/>
      </w:pPr>
      <w:r w:rsidRPr="001D05E4">
        <w:rPr>
          <w:b/>
          <w:bCs/>
          <w:u w:val="single"/>
        </w:rPr>
        <w:t xml:space="preserve">Les </w:t>
      </w:r>
      <w:r w:rsidR="001C3D65">
        <w:rPr>
          <w:b/>
          <w:bCs/>
          <w:u w:val="single"/>
        </w:rPr>
        <w:t>o</w:t>
      </w:r>
      <w:r w:rsidRPr="001D05E4">
        <w:rPr>
          <w:b/>
          <w:bCs/>
          <w:u w:val="single"/>
        </w:rPr>
        <w:t xml:space="preserve">bjectifs à </w:t>
      </w:r>
      <w:r w:rsidR="001C3D65">
        <w:rPr>
          <w:b/>
          <w:bCs/>
          <w:u w:val="single"/>
        </w:rPr>
        <w:t>l</w:t>
      </w:r>
      <w:r w:rsidRPr="001D05E4">
        <w:rPr>
          <w:b/>
          <w:bCs/>
          <w:u w:val="single"/>
        </w:rPr>
        <w:t xml:space="preserve">ong </w:t>
      </w:r>
      <w:r w:rsidR="001C3D65">
        <w:rPr>
          <w:b/>
          <w:bCs/>
          <w:u w:val="single"/>
        </w:rPr>
        <w:t>t</w:t>
      </w:r>
      <w:r w:rsidRPr="001D05E4">
        <w:rPr>
          <w:b/>
          <w:bCs/>
          <w:u w:val="single"/>
        </w:rPr>
        <w:t>erme</w:t>
      </w:r>
      <w:r>
        <w:t>, à savoir ce que l’on veut atteindre comme résultat à 15-20 ans</w:t>
      </w:r>
      <w:r w:rsidR="001C3D65">
        <w:t> ;</w:t>
      </w:r>
    </w:p>
    <w:p w14:paraId="23AAA03E" w14:textId="77777777" w:rsidR="001C3D65" w:rsidRDefault="001C3D65" w:rsidP="001C3D65">
      <w:pPr>
        <w:pStyle w:val="Paragraphedeliste"/>
        <w:jc w:val="both"/>
      </w:pPr>
    </w:p>
    <w:p w14:paraId="04A5D8A9" w14:textId="71AB283D" w:rsidR="001D23BC" w:rsidRDefault="00B338F7" w:rsidP="001D05E4">
      <w:pPr>
        <w:pStyle w:val="Paragraphedeliste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Pour les sites Natura 2000, ils correspondent aux</w:t>
      </w:r>
      <w:r w:rsidR="001D23BC" w:rsidRPr="0043123A">
        <w:rPr>
          <w:i/>
          <w:sz w:val="20"/>
          <w:szCs w:val="20"/>
        </w:rPr>
        <w:t xml:space="preserve"> objectifs des directives européennes « Habitats, Faune, Flore » et « Oiseaux » : par la désignation des sites, les États membres s’engagent à </w:t>
      </w:r>
      <w:r w:rsidR="001D23BC" w:rsidRPr="0043123A">
        <w:rPr>
          <w:b/>
          <w:i/>
          <w:sz w:val="20"/>
          <w:szCs w:val="20"/>
        </w:rPr>
        <w:t>maintenir ou restaurer l’état favorable de conservation des habitats et des espèces d’intérêt communautaire présents sur les sites Natura 2000</w:t>
      </w:r>
      <w:r w:rsidR="001D23BC" w:rsidRPr="0043123A">
        <w:rPr>
          <w:i/>
          <w:sz w:val="20"/>
          <w:szCs w:val="20"/>
        </w:rPr>
        <w:t>.</w:t>
      </w:r>
    </w:p>
    <w:p w14:paraId="7C98F6E9" w14:textId="77777777" w:rsidR="001D05E4" w:rsidRPr="001D05E4" w:rsidRDefault="001D05E4" w:rsidP="001D05E4">
      <w:pPr>
        <w:pStyle w:val="Paragraphedeliste"/>
        <w:jc w:val="both"/>
        <w:rPr>
          <w:sz w:val="20"/>
          <w:szCs w:val="20"/>
        </w:rPr>
      </w:pPr>
    </w:p>
    <w:p w14:paraId="4599150D" w14:textId="2D13EA42" w:rsidR="00170115" w:rsidRDefault="00236C99" w:rsidP="008A7D69">
      <w:pPr>
        <w:pStyle w:val="Paragraphedeliste"/>
        <w:numPr>
          <w:ilvl w:val="0"/>
          <w:numId w:val="1"/>
        </w:numPr>
        <w:jc w:val="both"/>
      </w:pPr>
      <w:r w:rsidRPr="001D05E4">
        <w:rPr>
          <w:b/>
          <w:bCs/>
          <w:u w:val="single"/>
        </w:rPr>
        <w:t xml:space="preserve">Les </w:t>
      </w:r>
      <w:r w:rsidR="00FF370C">
        <w:rPr>
          <w:b/>
          <w:bCs/>
          <w:u w:val="single"/>
        </w:rPr>
        <w:t>o</w:t>
      </w:r>
      <w:r w:rsidRPr="001D05E4">
        <w:rPr>
          <w:b/>
          <w:bCs/>
          <w:u w:val="single"/>
        </w:rPr>
        <w:t xml:space="preserve">bjectifs </w:t>
      </w:r>
      <w:r w:rsidR="00FF370C">
        <w:rPr>
          <w:b/>
          <w:bCs/>
          <w:u w:val="single"/>
        </w:rPr>
        <w:t>o</w:t>
      </w:r>
      <w:r w:rsidR="00FF370C" w:rsidRPr="001D05E4">
        <w:rPr>
          <w:b/>
          <w:bCs/>
          <w:u w:val="single"/>
        </w:rPr>
        <w:t>pérationnels</w:t>
      </w:r>
      <w:r w:rsidR="00FF370C">
        <w:t>,</w:t>
      </w:r>
      <w:r>
        <w:t xml:space="preserve"> </w:t>
      </w:r>
      <w:r w:rsidR="006959ED">
        <w:t>i</w:t>
      </w:r>
      <w:r w:rsidRPr="003C0392">
        <w:t xml:space="preserve">l s’agit des choix de gestion à moyen terme établis au regard de l’analyse des facteurs qui influencent l'état des </w:t>
      </w:r>
      <w:r w:rsidR="006959ED">
        <w:t>habitats et des espèces</w:t>
      </w:r>
      <w:r w:rsidRPr="003C0392">
        <w:t xml:space="preserve"> et l’atteinte des objectifs à long terme</w:t>
      </w:r>
      <w:r w:rsidR="00EE2804">
        <w:t xml:space="preserve">. </w:t>
      </w:r>
    </w:p>
    <w:p w14:paraId="4308A7C5" w14:textId="4EEC5D39" w:rsidR="00E62AAE" w:rsidRDefault="006959ED" w:rsidP="008A7D69">
      <w:pPr>
        <w:jc w:val="both"/>
      </w:pPr>
      <w:r>
        <w:t>U</w:t>
      </w:r>
      <w:r w:rsidR="00307454">
        <w:t xml:space="preserve">n groupe technique s’est réuni le </w:t>
      </w:r>
      <w:r w:rsidR="00806B38">
        <w:t>14 décembre 2021</w:t>
      </w:r>
      <w:r w:rsidR="008C47DE">
        <w:t xml:space="preserve"> pour </w:t>
      </w:r>
      <w:r w:rsidR="00184AE9" w:rsidRPr="00184AE9">
        <w:t xml:space="preserve">initier </w:t>
      </w:r>
      <w:r w:rsidR="008C47DE">
        <w:t xml:space="preserve">une </w:t>
      </w:r>
      <w:r w:rsidR="00184AE9" w:rsidRPr="00184AE9">
        <w:t>réflexion sur ces définitions et formuler des propositions pour le</w:t>
      </w:r>
      <w:r w:rsidR="002A0DA4">
        <w:t xml:space="preserve"> comité de pilotage</w:t>
      </w:r>
      <w:r w:rsidR="004F7744">
        <w:t>.</w:t>
      </w:r>
    </w:p>
    <w:p w14:paraId="2297226F" w14:textId="100C748D" w:rsidR="00EE7089" w:rsidRDefault="008B04EB" w:rsidP="008A7D69">
      <w:pPr>
        <w:jc w:val="both"/>
      </w:pPr>
      <w:r w:rsidRPr="00980B74">
        <w:rPr>
          <w:b/>
          <w:bCs/>
          <w:u w:val="single"/>
        </w:rPr>
        <w:t>5</w:t>
      </w:r>
      <w:r w:rsidR="00EE7089" w:rsidRPr="00980B74">
        <w:rPr>
          <w:b/>
          <w:bCs/>
          <w:u w:val="single"/>
        </w:rPr>
        <w:t xml:space="preserve"> </w:t>
      </w:r>
      <w:r w:rsidR="00184AE9" w:rsidRPr="00184AE9">
        <w:rPr>
          <w:b/>
          <w:bCs/>
          <w:u w:val="single"/>
        </w:rPr>
        <w:t>objectifs de conservation à long terme sont proposés</w:t>
      </w:r>
      <w:r w:rsidR="00206C54">
        <w:rPr>
          <w:b/>
          <w:bCs/>
          <w:u w:val="single"/>
        </w:rPr>
        <w:t xml:space="preserve"> </w:t>
      </w:r>
      <w:r w:rsidR="00CA7FD9">
        <w:t>:</w:t>
      </w:r>
    </w:p>
    <w:p w14:paraId="42EAABF3" w14:textId="77777777" w:rsidR="00C62134" w:rsidRDefault="00C62134" w:rsidP="00AE2B4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Améliorer l'état de conservation des </w:t>
      </w:r>
      <w:r w:rsidRPr="00816172">
        <w:rPr>
          <w:b/>
          <w:bCs/>
        </w:rPr>
        <w:t>habitats marins de l'estran</w:t>
      </w:r>
      <w:r>
        <w:t xml:space="preserve"> (découverts à marée basse) </w:t>
      </w:r>
      <w:r w:rsidRPr="00816172">
        <w:rPr>
          <w:b/>
          <w:bCs/>
        </w:rPr>
        <w:t>et infralittoraux</w:t>
      </w:r>
      <w:r>
        <w:t xml:space="preserve"> (toujours recouverts d'eau)</w:t>
      </w:r>
    </w:p>
    <w:p w14:paraId="3FD3557B" w14:textId="2C66B598" w:rsidR="00C62134" w:rsidRDefault="00C62134" w:rsidP="00AE2B4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Améliorer l'état de conservation des </w:t>
      </w:r>
      <w:r w:rsidRPr="00816172">
        <w:rPr>
          <w:b/>
          <w:bCs/>
        </w:rPr>
        <w:t>habitats des milieux humides et aquatiques</w:t>
      </w:r>
      <w:r>
        <w:t xml:space="preserve"> (incluant </w:t>
      </w:r>
      <w:r w:rsidR="0020437E">
        <w:t xml:space="preserve">les </w:t>
      </w:r>
      <w:r>
        <w:t>eaux douce</w:t>
      </w:r>
      <w:r w:rsidR="0020437E">
        <w:t>s</w:t>
      </w:r>
      <w:r>
        <w:t xml:space="preserve"> à salée</w:t>
      </w:r>
      <w:r w:rsidR="0020437E">
        <w:t>s</w:t>
      </w:r>
      <w:r>
        <w:t>)</w:t>
      </w:r>
    </w:p>
    <w:p w14:paraId="29831F1C" w14:textId="77777777" w:rsidR="00C62134" w:rsidRPr="00E6224B" w:rsidRDefault="00C62134" w:rsidP="00AE2B4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Améliorer l'état de conservation des habitats associés aux </w:t>
      </w:r>
      <w:r w:rsidRPr="00816172">
        <w:rPr>
          <w:b/>
          <w:bCs/>
        </w:rPr>
        <w:t>dunes et falaises</w:t>
      </w:r>
    </w:p>
    <w:p w14:paraId="093C939A" w14:textId="29FC9A12" w:rsidR="00E6224B" w:rsidRDefault="00E6224B" w:rsidP="00AE2B4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>Améliorer l'état de conservation d</w:t>
      </w:r>
      <w:r w:rsidR="00DE172A">
        <w:t>’</w:t>
      </w:r>
      <w:r w:rsidRPr="00816172">
        <w:rPr>
          <w:b/>
          <w:bCs/>
        </w:rPr>
        <w:t>autres habitats d'intérêt communautaire</w:t>
      </w:r>
      <w:r w:rsidR="00DE172A">
        <w:rPr>
          <w:b/>
          <w:bCs/>
        </w:rPr>
        <w:t xml:space="preserve"> </w:t>
      </w:r>
      <w:r w:rsidR="00DE172A" w:rsidRPr="00E65581">
        <w:t>dont des boisements, landes et prairies</w:t>
      </w:r>
      <w:r w:rsidR="00695D31" w:rsidRPr="00E65581">
        <w:t>, hors milieux humides</w:t>
      </w:r>
    </w:p>
    <w:p w14:paraId="264D3D54" w14:textId="77777777" w:rsidR="00C62134" w:rsidRDefault="00C62134" w:rsidP="00AE2B4B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Maintenir ou Améliorer l'état de conservation des </w:t>
      </w:r>
      <w:r w:rsidRPr="00816172">
        <w:rPr>
          <w:b/>
          <w:bCs/>
        </w:rPr>
        <w:t>espèces d'intérêt communautaire et les fonctionnalités de leurs habitats</w:t>
      </w:r>
    </w:p>
    <w:p w14:paraId="43E23863" w14:textId="77777777" w:rsidR="00C173B5" w:rsidRDefault="00C173B5" w:rsidP="008A7D69">
      <w:pPr>
        <w:jc w:val="both"/>
      </w:pPr>
    </w:p>
    <w:p w14:paraId="4AC817BA" w14:textId="39EC9378" w:rsidR="001217FA" w:rsidRDefault="003C5893" w:rsidP="008A7D69">
      <w:pPr>
        <w:jc w:val="both"/>
      </w:pPr>
      <w:r>
        <w:t>Concernant</w:t>
      </w:r>
      <w:r w:rsidR="00E43C61">
        <w:t xml:space="preserve"> </w:t>
      </w:r>
      <w:r>
        <w:t>l</w:t>
      </w:r>
      <w:r w:rsidR="00E43C61">
        <w:t xml:space="preserve">es </w:t>
      </w:r>
      <w:r>
        <w:t>o</w:t>
      </w:r>
      <w:r w:rsidR="0067126F">
        <w:t xml:space="preserve">bjectifs </w:t>
      </w:r>
      <w:r>
        <w:t>o</w:t>
      </w:r>
      <w:r w:rsidR="0067126F">
        <w:t>pérationnels</w:t>
      </w:r>
      <w:r w:rsidR="00E43C61">
        <w:t>,</w:t>
      </w:r>
      <w:r w:rsidR="00064D83">
        <w:t xml:space="preserve"> ils ont été définis à partir du recensement des facteurs influençant l’état de conservation</w:t>
      </w:r>
      <w:r w:rsidR="00841E25">
        <w:t xml:space="preserve"> des habitats et des espèces.</w:t>
      </w:r>
    </w:p>
    <w:p w14:paraId="1FB960AD" w14:textId="48279167" w:rsidR="00841E25" w:rsidRDefault="00DC10FB" w:rsidP="008A7D69">
      <w:pPr>
        <w:jc w:val="both"/>
      </w:pPr>
      <w:r w:rsidRPr="00DC10FB">
        <w:t>Afin de comprendre la logique qui conduit à la définition de ce type d’objectif, citons à titre d’exemple la réflexion propre aux récifs d’hermelles :</w:t>
      </w:r>
    </w:p>
    <w:p w14:paraId="55D5CAAE" w14:textId="190A60E5" w:rsidR="009A001A" w:rsidRPr="00FC6C7E" w:rsidRDefault="009A001A" w:rsidP="008A7D69">
      <w:pPr>
        <w:jc w:val="both"/>
        <w:rPr>
          <w:i/>
          <w:u w:val="single"/>
        </w:rPr>
      </w:pPr>
      <w:r w:rsidRPr="00FC6C7E">
        <w:rPr>
          <w:i/>
          <w:u w:val="single"/>
        </w:rPr>
        <w:t>Ex</w:t>
      </w:r>
      <w:r w:rsidR="00DC10FB">
        <w:rPr>
          <w:i/>
          <w:u w:val="single"/>
        </w:rPr>
        <w:t> :</w:t>
      </w:r>
      <w:r w:rsidRPr="00FC6C7E">
        <w:rPr>
          <w:i/>
          <w:u w:val="single"/>
        </w:rPr>
        <w:t> </w:t>
      </w:r>
      <w:r w:rsidR="00DC10FB" w:rsidRPr="00DC10FB">
        <w:rPr>
          <w:i/>
          <w:u w:val="single"/>
        </w:rPr>
        <w:t xml:space="preserve">tableau recensant les facteurs influençant l’état de conservation </w:t>
      </w:r>
      <w:r w:rsidR="00DC10FB">
        <w:rPr>
          <w:i/>
          <w:iCs/>
          <w:u w:val="single"/>
        </w:rPr>
        <w:t>d</w:t>
      </w:r>
      <w:r w:rsidR="005D181D">
        <w:rPr>
          <w:i/>
          <w:iCs/>
          <w:u w:val="single"/>
        </w:rPr>
        <w:t>es</w:t>
      </w:r>
      <w:r w:rsidRPr="00FC6C7E">
        <w:rPr>
          <w:i/>
          <w:iCs/>
          <w:u w:val="single"/>
        </w:rPr>
        <w:t xml:space="preserve"> </w:t>
      </w:r>
      <w:r w:rsidRPr="00FC6C7E">
        <w:rPr>
          <w:i/>
          <w:u w:val="single"/>
        </w:rPr>
        <w:t>récifs d’hermelles</w:t>
      </w:r>
      <w:r w:rsidR="00FC6C7E">
        <w:rPr>
          <w:i/>
          <w:iCs/>
          <w:u w:val="single"/>
        </w:rPr>
        <w:t> :</w:t>
      </w:r>
    </w:p>
    <w:tbl>
      <w:tblPr>
        <w:tblStyle w:val="TableauListe1Clair-Accentuation5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6207"/>
      </w:tblGrid>
      <w:tr w:rsidR="003E3D9E" w:rsidRPr="003E3D9E" w14:paraId="04EFC5A8" w14:textId="77777777" w:rsidTr="00685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6CD15" w14:textId="68B1235C" w:rsidR="003E3D9E" w:rsidRPr="00004B02" w:rsidRDefault="00780012" w:rsidP="00073C7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Facteur d’influence/</w:t>
            </w:r>
            <w:r w:rsidR="00756E37"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pression/</w:t>
            </w:r>
            <w:r w:rsidR="00756E37"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opportunité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783E" w14:textId="51F393E9" w:rsidR="003E3D9E" w:rsidRPr="00004B02" w:rsidRDefault="001B6614" w:rsidP="00073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Proposition d’objectif opérationnel</w:t>
            </w:r>
          </w:p>
        </w:tc>
      </w:tr>
      <w:tr w:rsidR="003E3D9E" w:rsidRPr="003E3D9E" w14:paraId="4BE49820" w14:textId="77777777" w:rsidTr="00685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52BE4" w14:textId="77777777" w:rsidR="003E3D9E" w:rsidRPr="00004B02" w:rsidRDefault="003E3D9E" w:rsidP="008A7D69">
            <w:pPr>
              <w:jc w:val="both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  <w:t>Perturbations physiques</w:t>
            </w:r>
          </w:p>
        </w:tc>
        <w:tc>
          <w:tcPr>
            <w:tcW w:w="62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1883E" w14:textId="77777777" w:rsidR="003E3D9E" w:rsidRPr="00004B02" w:rsidRDefault="003E3D9E" w:rsidP="008A7D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EVITER les perturbations physiques sur les habitats marins, en particulier sur les zones à forts enjeux écologiques </w:t>
            </w:r>
          </w:p>
        </w:tc>
      </w:tr>
      <w:tr w:rsidR="003E3D9E" w:rsidRPr="003E3D9E" w14:paraId="71C0D140" w14:textId="77777777" w:rsidTr="00685BF1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CE928" w14:textId="77777777" w:rsidR="003E3D9E" w:rsidRPr="00004B02" w:rsidRDefault="003E3D9E" w:rsidP="008A7D69">
            <w:pPr>
              <w:jc w:val="both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  <w:t>Eutrophisation/Apports de nutriments</w:t>
            </w:r>
          </w:p>
        </w:tc>
        <w:tc>
          <w:tcPr>
            <w:tcW w:w="62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95BBA" w14:textId="77777777" w:rsidR="003E3D9E" w:rsidRPr="00004B02" w:rsidRDefault="003E3D9E" w:rsidP="008A7D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CONTRIBUER à la réduction des apports en nutriments et en contaminants chimiques ainsi que leur transfert dans les eaux douces et le milieu marin</w:t>
            </w:r>
          </w:p>
        </w:tc>
      </w:tr>
      <w:tr w:rsidR="003E3D9E" w:rsidRPr="003E3D9E" w14:paraId="4B3B2594" w14:textId="77777777" w:rsidTr="00685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8668F" w14:textId="77777777" w:rsidR="003E3D9E" w:rsidRPr="00004B02" w:rsidRDefault="003E3D9E" w:rsidP="008A7D69">
            <w:pPr>
              <w:jc w:val="both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  <w:t>Qualité de l'eau</w:t>
            </w:r>
          </w:p>
        </w:tc>
        <w:tc>
          <w:tcPr>
            <w:tcW w:w="62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33B69" w14:textId="77777777" w:rsidR="003E3D9E" w:rsidRPr="00004B02" w:rsidRDefault="003E3D9E" w:rsidP="008A7D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VEILLER à un niveau de qualité des eaux compatible avec un bon état des espèces et des habitats</w:t>
            </w:r>
          </w:p>
        </w:tc>
      </w:tr>
      <w:tr w:rsidR="003E3D9E" w:rsidRPr="003E3D9E" w14:paraId="70997CB9" w14:textId="77777777" w:rsidTr="00685BF1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D70F6" w14:textId="676BB348" w:rsidR="003E3D9E" w:rsidRPr="00004B02" w:rsidRDefault="003E3D9E" w:rsidP="008A7D69">
            <w:pPr>
              <w:jc w:val="both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>E</w:t>
            </w:r>
            <w:r w:rsidR="00FC6C7E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 xml:space="preserve">spèces </w:t>
            </w:r>
            <w:r w:rsidRPr="00004B02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>E</w:t>
            </w:r>
            <w:r w:rsidR="00FC6C7E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 xml:space="preserve">xotiques </w:t>
            </w:r>
            <w:r w:rsidRPr="00004B02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>E</w:t>
            </w:r>
            <w:r w:rsidR="00FC6C7E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 xml:space="preserve">nvahissantes </w:t>
            </w:r>
            <w:r w:rsidRPr="00004B02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>/</w:t>
            </w:r>
            <w:r w:rsidR="00FC6C7E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004B02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>E</w:t>
            </w:r>
            <w:r w:rsidR="00FC6C7E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 xml:space="preserve">spèces </w:t>
            </w:r>
            <w:r w:rsidRPr="00004B02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>N</w:t>
            </w:r>
            <w:r w:rsidR="00FC6C7E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 xml:space="preserve">on </w:t>
            </w:r>
            <w:r w:rsidRPr="00004B02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>I</w:t>
            </w:r>
            <w:r w:rsidR="00FC6C7E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fr-FR"/>
              </w:rPr>
              <w:t>ndigènes</w:t>
            </w:r>
          </w:p>
        </w:tc>
        <w:tc>
          <w:tcPr>
            <w:tcW w:w="62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3712B" w14:textId="77777777" w:rsidR="003E3D9E" w:rsidRPr="00004B02" w:rsidRDefault="003E3D9E" w:rsidP="008A7D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LIMITER et CONTROLER l’introduction d’espèces invasives et de pathogènes</w:t>
            </w:r>
          </w:p>
        </w:tc>
      </w:tr>
      <w:tr w:rsidR="003E3D9E" w:rsidRPr="003E3D9E" w14:paraId="721B11CD" w14:textId="77777777" w:rsidTr="00685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2BA05" w14:textId="77777777" w:rsidR="003E3D9E" w:rsidRPr="00004B02" w:rsidRDefault="003E3D9E" w:rsidP="008A7D69">
            <w:pPr>
              <w:jc w:val="both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  <w:t>Macrodéchets</w:t>
            </w:r>
          </w:p>
        </w:tc>
        <w:tc>
          <w:tcPr>
            <w:tcW w:w="62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7328D" w14:textId="77777777" w:rsidR="003E3D9E" w:rsidRPr="00004B02" w:rsidRDefault="003E3D9E" w:rsidP="008A7D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REDUIRE les apports et la présence des déchets d'origine terrestre ou issus des activités maritimes ou de loisirs</w:t>
            </w:r>
          </w:p>
        </w:tc>
      </w:tr>
      <w:tr w:rsidR="003E3D9E" w:rsidRPr="003E3D9E" w14:paraId="423FD0AC" w14:textId="77777777" w:rsidTr="00685BF1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E9B9" w14:textId="3A18122F" w:rsidR="003E3D9E" w:rsidRPr="00004B02" w:rsidRDefault="003E3D9E" w:rsidP="008A7D69">
            <w:pPr>
              <w:jc w:val="both"/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b w:val="0"/>
                <w:color w:val="000000"/>
                <w:sz w:val="18"/>
                <w:szCs w:val="18"/>
                <w:lang w:eastAsia="fr-FR"/>
              </w:rPr>
              <w:t>Pollution</w:t>
            </w:r>
            <w:r w:rsidRPr="00004B02">
              <w:rPr>
                <w:rFonts w:ascii="Calibri" w:eastAsia="Times New Roman" w:hAnsi="Calibri" w:cs="Calibri"/>
                <w:b w:val="0"/>
                <w:i/>
                <w:color w:val="000000"/>
                <w:sz w:val="18"/>
                <w:szCs w:val="18"/>
                <w:lang w:eastAsia="fr-FR"/>
              </w:rPr>
              <w:t xml:space="preserve"> (pesticides, </w:t>
            </w:r>
            <w:r w:rsidRPr="00004B02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18"/>
                <w:szCs w:val="18"/>
                <w:lang w:eastAsia="fr-FR"/>
              </w:rPr>
              <w:t>assainissem</w:t>
            </w:r>
            <w:r w:rsidR="001B0ED5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18"/>
                <w:szCs w:val="18"/>
                <w:lang w:eastAsia="fr-FR"/>
              </w:rPr>
              <w:t>e</w:t>
            </w:r>
            <w:r w:rsidRPr="00004B02"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18"/>
                <w:szCs w:val="18"/>
                <w:lang w:eastAsia="fr-FR"/>
              </w:rPr>
              <w:t>nt</w:t>
            </w:r>
            <w:r w:rsidRPr="00004B02">
              <w:rPr>
                <w:rFonts w:ascii="Calibri" w:eastAsia="Times New Roman" w:hAnsi="Calibri" w:cs="Calibri"/>
                <w:b w:val="0"/>
                <w:i/>
                <w:color w:val="000000"/>
                <w:sz w:val="18"/>
                <w:szCs w:val="18"/>
                <w:lang w:eastAsia="fr-FR"/>
              </w:rPr>
              <w:t>, hydrocarbures, eaux noires, …)</w:t>
            </w:r>
          </w:p>
        </w:tc>
        <w:tc>
          <w:tcPr>
            <w:tcW w:w="6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289D" w14:textId="77777777" w:rsidR="003E3D9E" w:rsidRPr="00004B02" w:rsidRDefault="003E3D9E" w:rsidP="008A7D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004B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CONTRIBUER à limiter les apports et les rejets de contaminants en mer</w:t>
            </w:r>
          </w:p>
        </w:tc>
      </w:tr>
    </w:tbl>
    <w:p w14:paraId="49FF5871" w14:textId="52A98C9B" w:rsidR="00CA7FD9" w:rsidRDefault="00A14F08" w:rsidP="008A7D69">
      <w:pPr>
        <w:jc w:val="both"/>
        <w:rPr>
          <w:b/>
          <w:bCs/>
          <w:color w:val="FF0000"/>
        </w:rPr>
      </w:pPr>
      <w:r>
        <w:lastRenderedPageBreak/>
        <w:t xml:space="preserve">Les </w:t>
      </w:r>
      <w:r w:rsidR="003F711F">
        <w:t>o</w:t>
      </w:r>
      <w:r w:rsidR="00051C8C" w:rsidRPr="006E6492">
        <w:t>bjectifs</w:t>
      </w:r>
      <w:r w:rsidR="006E6492">
        <w:t xml:space="preserve"> </w:t>
      </w:r>
      <w:r w:rsidR="003F711F">
        <w:t>o</w:t>
      </w:r>
      <w:r w:rsidR="006E6492">
        <w:t xml:space="preserve">pérationnels </w:t>
      </w:r>
      <w:r w:rsidR="006F01E3">
        <w:t xml:space="preserve">ont été regroupés </w:t>
      </w:r>
      <w:r w:rsidR="004C3360">
        <w:t xml:space="preserve">par grand type de facteur d’influence ou pressions </w:t>
      </w:r>
      <w:r w:rsidR="006F01E3">
        <w:t xml:space="preserve">pour aboutir à </w:t>
      </w:r>
      <w:r w:rsidR="001C2E91" w:rsidRPr="001E767D">
        <w:rPr>
          <w:b/>
          <w:bCs/>
        </w:rPr>
        <w:t>1</w:t>
      </w:r>
      <w:r w:rsidR="002063F4" w:rsidRPr="001E767D">
        <w:rPr>
          <w:b/>
          <w:bCs/>
        </w:rPr>
        <w:t>4</w:t>
      </w:r>
      <w:r w:rsidR="001C2E91" w:rsidRPr="001E767D">
        <w:rPr>
          <w:b/>
          <w:bCs/>
        </w:rPr>
        <w:t xml:space="preserve"> </w:t>
      </w:r>
      <w:r w:rsidR="004C3360">
        <w:rPr>
          <w:b/>
          <w:bCs/>
        </w:rPr>
        <w:t>o</w:t>
      </w:r>
      <w:r w:rsidR="002D4404">
        <w:rPr>
          <w:b/>
          <w:bCs/>
        </w:rPr>
        <w:t xml:space="preserve">bjectifs </w:t>
      </w:r>
      <w:r w:rsidR="004C3360">
        <w:rPr>
          <w:b/>
          <w:bCs/>
        </w:rPr>
        <w:t>o</w:t>
      </w:r>
      <w:r w:rsidR="002D4404">
        <w:rPr>
          <w:b/>
          <w:bCs/>
        </w:rPr>
        <w:t>pérationnels</w:t>
      </w:r>
      <w:r w:rsidR="009D4535" w:rsidRPr="001E767D">
        <w:rPr>
          <w:b/>
          <w:bCs/>
        </w:rPr>
        <w:t> :</w:t>
      </w:r>
    </w:p>
    <w:p w14:paraId="463350E0" w14:textId="0A544AC0" w:rsidR="002063F4" w:rsidRPr="001E767D" w:rsidRDefault="009D4535" w:rsidP="008A7D69">
      <w:pPr>
        <w:jc w:val="both"/>
        <w:rPr>
          <w:b/>
          <w:bCs/>
        </w:rPr>
      </w:pPr>
      <w:r w:rsidRPr="00980B74">
        <w:rPr>
          <w:b/>
          <w:bCs/>
          <w:u w:val="single"/>
        </w:rPr>
        <w:t xml:space="preserve">10 </w:t>
      </w:r>
      <w:r w:rsidR="00E414BD">
        <w:rPr>
          <w:b/>
          <w:bCs/>
          <w:u w:val="single"/>
        </w:rPr>
        <w:t>objectifs</w:t>
      </w:r>
      <w:r w:rsidRPr="00980B74">
        <w:rPr>
          <w:b/>
          <w:bCs/>
          <w:u w:val="single"/>
        </w:rPr>
        <w:t xml:space="preserve"> spécifiques aux habitats et espèces</w:t>
      </w:r>
      <w:r w:rsidRPr="001E767D">
        <w:rPr>
          <w:b/>
          <w:bCs/>
        </w:rPr>
        <w:t> :</w:t>
      </w:r>
    </w:p>
    <w:p w14:paraId="0345E66F" w14:textId="77777777" w:rsidR="001612BC" w:rsidRDefault="001612BC" w:rsidP="001612B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EVITER les </w:t>
      </w:r>
      <w:r w:rsidRPr="00D80F5B">
        <w:rPr>
          <w:b/>
        </w:rPr>
        <w:t>perturbations physiques</w:t>
      </w:r>
      <w:r>
        <w:t xml:space="preserve"> sur les habitats naturels et semi-naturels, en particulier sur les zones à forts enjeux écologiques </w:t>
      </w:r>
    </w:p>
    <w:p w14:paraId="2BA5D2CB" w14:textId="77777777" w:rsidR="001612BC" w:rsidRDefault="001612BC" w:rsidP="001612B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VEILLER à un niveau de </w:t>
      </w:r>
      <w:r w:rsidRPr="00D80F5B">
        <w:rPr>
          <w:b/>
        </w:rPr>
        <w:t>qualité des eaux</w:t>
      </w:r>
      <w:r>
        <w:t xml:space="preserve"> compatible avec un bon état des espèces et des habitats d'intérêt communautaire</w:t>
      </w:r>
    </w:p>
    <w:p w14:paraId="13947E82" w14:textId="65530A04" w:rsidR="001612BC" w:rsidRDefault="001612BC" w:rsidP="001612B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LIMITER et CONTROLER </w:t>
      </w:r>
      <w:r w:rsidR="00BC0161" w:rsidRPr="00BC0161">
        <w:t>le développement</w:t>
      </w:r>
      <w:r>
        <w:t xml:space="preserve"> </w:t>
      </w:r>
      <w:r w:rsidRPr="00D80F5B">
        <w:rPr>
          <w:b/>
        </w:rPr>
        <w:t>d’espèces invasives et de pathogènes</w:t>
      </w:r>
    </w:p>
    <w:p w14:paraId="775CC7BB" w14:textId="6DB91A43" w:rsidR="001612BC" w:rsidRDefault="001612BC" w:rsidP="001612B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EVITER les </w:t>
      </w:r>
      <w:r w:rsidRPr="00D80F5B">
        <w:rPr>
          <w:b/>
        </w:rPr>
        <w:t>apports directs et indirects en nutriments, contaminants et déchets</w:t>
      </w:r>
      <w:r>
        <w:t xml:space="preserve"> issus des activités humaines, dans les milieux marins et littoraux </w:t>
      </w:r>
    </w:p>
    <w:p w14:paraId="3D674047" w14:textId="77777777" w:rsidR="001612BC" w:rsidRPr="00D80F5B" w:rsidRDefault="001612BC" w:rsidP="001612B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  <w:rPr>
          <w:b/>
        </w:rPr>
      </w:pPr>
      <w:r>
        <w:t xml:space="preserve">LIMITER les </w:t>
      </w:r>
      <w:r w:rsidRPr="00D80F5B">
        <w:rPr>
          <w:b/>
        </w:rPr>
        <w:t>obstacles à la connectivité terre-mer</w:t>
      </w:r>
    </w:p>
    <w:p w14:paraId="1F19C6B3" w14:textId="5200B778" w:rsidR="001612BC" w:rsidRDefault="001612BC" w:rsidP="001612B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EVITER la </w:t>
      </w:r>
      <w:r w:rsidRPr="00784B28">
        <w:rPr>
          <w:b/>
        </w:rPr>
        <w:t>fragmentation et la dégradation</w:t>
      </w:r>
      <w:r>
        <w:t xml:space="preserve"> des habitats naturels et semi-naturels </w:t>
      </w:r>
    </w:p>
    <w:p w14:paraId="09C2A733" w14:textId="427BDC33" w:rsidR="001612BC" w:rsidRDefault="001612BC" w:rsidP="001612B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VEILLER A offrir aux </w:t>
      </w:r>
      <w:r w:rsidR="00D858AA">
        <w:t>espèces d’intérêt communautaire</w:t>
      </w:r>
      <w:r>
        <w:t xml:space="preserve"> les </w:t>
      </w:r>
      <w:r w:rsidRPr="0079684B">
        <w:rPr>
          <w:b/>
        </w:rPr>
        <w:t>conditions</w:t>
      </w:r>
      <w:r>
        <w:t xml:space="preserve"> leur permettant de réaliser l'ensemble de leur </w:t>
      </w:r>
      <w:r w:rsidRPr="0079684B">
        <w:rPr>
          <w:b/>
        </w:rPr>
        <w:t>cycle biologique</w:t>
      </w:r>
      <w:r>
        <w:t xml:space="preserve"> sur le site</w:t>
      </w:r>
    </w:p>
    <w:p w14:paraId="0B9507BA" w14:textId="77777777" w:rsidR="001612BC" w:rsidRDefault="001612BC" w:rsidP="001612B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LIMITER les </w:t>
      </w:r>
      <w:r w:rsidRPr="00784B28">
        <w:rPr>
          <w:b/>
        </w:rPr>
        <w:t>captures accidentelles</w:t>
      </w:r>
      <w:r>
        <w:t xml:space="preserve"> des espèces d'intérêt communautaire</w:t>
      </w:r>
    </w:p>
    <w:p w14:paraId="7B08B5AF" w14:textId="6FFF41D3" w:rsidR="001612BC" w:rsidRPr="006F01E3" w:rsidRDefault="001612BC" w:rsidP="001612B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>
        <w:t xml:space="preserve">MAINTENIR des </w:t>
      </w:r>
      <w:r w:rsidRPr="00784B28">
        <w:rPr>
          <w:b/>
        </w:rPr>
        <w:t>conditions hydrauliques favorables</w:t>
      </w:r>
      <w:r>
        <w:t xml:space="preserve"> aux habita</w:t>
      </w:r>
      <w:r w:rsidR="00F33342">
        <w:t>t</w:t>
      </w:r>
      <w:r>
        <w:t>s d'intérêt communautaire</w:t>
      </w:r>
    </w:p>
    <w:p w14:paraId="3A2F07FB" w14:textId="724F6CAC" w:rsidR="00C41CDB" w:rsidRPr="00980B74" w:rsidRDefault="009D4535" w:rsidP="008A7D69">
      <w:pPr>
        <w:jc w:val="both"/>
        <w:rPr>
          <w:b/>
          <w:u w:val="single"/>
        </w:rPr>
      </w:pPr>
      <w:r w:rsidRPr="00980B74">
        <w:rPr>
          <w:b/>
          <w:bCs/>
          <w:u w:val="single"/>
        </w:rPr>
        <w:t xml:space="preserve">4 </w:t>
      </w:r>
      <w:r w:rsidR="00E414BD">
        <w:rPr>
          <w:b/>
          <w:bCs/>
          <w:u w:val="single"/>
        </w:rPr>
        <w:t xml:space="preserve">objectifs </w:t>
      </w:r>
      <w:r w:rsidRPr="00980B74">
        <w:rPr>
          <w:b/>
          <w:bCs/>
          <w:u w:val="single"/>
        </w:rPr>
        <w:t>transversaux :</w:t>
      </w:r>
    </w:p>
    <w:p w14:paraId="111CA7C5" w14:textId="266D3A43" w:rsidR="008F3AC0" w:rsidRPr="008F3AC0" w:rsidRDefault="008F3AC0" w:rsidP="008F3AC0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 w:rsidRPr="008F3AC0">
        <w:t xml:space="preserve">CONDUIRE les </w:t>
      </w:r>
      <w:r w:rsidRPr="001518EE">
        <w:rPr>
          <w:b/>
        </w:rPr>
        <w:t>actions</w:t>
      </w:r>
      <w:r w:rsidRPr="008F3AC0">
        <w:t xml:space="preserve"> prévues dans le D</w:t>
      </w:r>
      <w:r>
        <w:t>OCOB</w:t>
      </w:r>
      <w:r w:rsidRPr="008F3AC0">
        <w:t xml:space="preserve"> en renforçant </w:t>
      </w:r>
      <w:r w:rsidRPr="001518EE">
        <w:rPr>
          <w:b/>
        </w:rPr>
        <w:t>le dialogue et la concertation</w:t>
      </w:r>
      <w:r w:rsidRPr="008F3AC0">
        <w:t xml:space="preserve"> avec les acteurs du site pour une meilleur appropriation des enjeux du site</w:t>
      </w:r>
    </w:p>
    <w:p w14:paraId="135CE325" w14:textId="38165C95" w:rsidR="008F3AC0" w:rsidRPr="008F3AC0" w:rsidRDefault="008F3AC0" w:rsidP="008F3AC0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 w:rsidRPr="008F3AC0">
        <w:t xml:space="preserve">COMMUNIQUER, SENSIBILISER, INFORMER les acteurs du site (habitants, socio-professionnels, usagers, touristes, scolaires…) sur les </w:t>
      </w:r>
      <w:r w:rsidR="001518EE">
        <w:t>habitats et les esp</w:t>
      </w:r>
      <w:r w:rsidR="0086530B">
        <w:t>èces</w:t>
      </w:r>
      <w:r w:rsidRPr="008F3AC0">
        <w:t xml:space="preserve"> et </w:t>
      </w:r>
      <w:r w:rsidRPr="0086530B">
        <w:rPr>
          <w:b/>
        </w:rPr>
        <w:t>les pratiques favorables à leur conservation</w:t>
      </w:r>
    </w:p>
    <w:p w14:paraId="6D82CD38" w14:textId="77777777" w:rsidR="008F3AC0" w:rsidRPr="00050809" w:rsidRDefault="008F3AC0" w:rsidP="008F3AC0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  <w:rPr>
          <w:b/>
        </w:rPr>
      </w:pPr>
      <w:r w:rsidRPr="008F3AC0">
        <w:t xml:space="preserve">POURSUIVRE </w:t>
      </w:r>
      <w:r w:rsidRPr="00050809">
        <w:rPr>
          <w:b/>
        </w:rPr>
        <w:t>les suivis en cours</w:t>
      </w:r>
      <w:r w:rsidRPr="008F3AC0">
        <w:t xml:space="preserve"> et AMELIORER </w:t>
      </w:r>
      <w:r w:rsidRPr="00050809">
        <w:rPr>
          <w:b/>
        </w:rPr>
        <w:t>les connaissances</w:t>
      </w:r>
    </w:p>
    <w:p w14:paraId="04A71664" w14:textId="4E07C1D2" w:rsidR="008F3AC0" w:rsidRPr="008F3AC0" w:rsidRDefault="008F3AC0" w:rsidP="008F3AC0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both"/>
      </w:pPr>
      <w:r w:rsidRPr="008F3AC0">
        <w:t xml:space="preserve">ASSURER une </w:t>
      </w:r>
      <w:r w:rsidRPr="00050809">
        <w:rPr>
          <w:b/>
        </w:rPr>
        <w:t>gestion concertée</w:t>
      </w:r>
      <w:r w:rsidRPr="008F3AC0">
        <w:t xml:space="preserve"> des sites Natura 2000 et la prise en compte des enjeux Natura 2000 dans les autres politiques publiques et démarches de territoire</w:t>
      </w:r>
    </w:p>
    <w:p w14:paraId="48B293AE" w14:textId="77777777" w:rsidR="00C41CDB" w:rsidRPr="00C41CDB" w:rsidRDefault="00C41CDB" w:rsidP="008A7D69">
      <w:pPr>
        <w:jc w:val="both"/>
      </w:pPr>
    </w:p>
    <w:p w14:paraId="6E89E2C3" w14:textId="343FACC4" w:rsidR="001C2E91" w:rsidRDefault="00B66AA9" w:rsidP="00835CF5">
      <w:pPr>
        <w:pStyle w:val="Titre1"/>
      </w:pPr>
      <w:r>
        <w:t>Perspectives</w:t>
      </w:r>
    </w:p>
    <w:p w14:paraId="179EF226" w14:textId="11552C26" w:rsidR="00B66AA9" w:rsidRDefault="001C02B4" w:rsidP="008A7D69">
      <w:pPr>
        <w:jc w:val="both"/>
      </w:pPr>
      <w:r>
        <w:t xml:space="preserve">Les </w:t>
      </w:r>
      <w:r w:rsidR="0027137B">
        <w:t>objectifs de conservation ai</w:t>
      </w:r>
      <w:r w:rsidR="001B29DA">
        <w:t>n</w:t>
      </w:r>
      <w:r w:rsidR="0027137B">
        <w:t>si définis</w:t>
      </w:r>
      <w:r>
        <w:t xml:space="preserve"> seront présentés </w:t>
      </w:r>
      <w:r w:rsidR="0027137B">
        <w:t>et proposés au débat</w:t>
      </w:r>
      <w:r w:rsidR="001B29DA">
        <w:t xml:space="preserve"> </w:t>
      </w:r>
      <w:r w:rsidR="00544B48">
        <w:t>lors du</w:t>
      </w:r>
      <w:r>
        <w:t xml:space="preserve"> prochain co</w:t>
      </w:r>
      <w:r w:rsidR="00544B48">
        <w:t xml:space="preserve">mité de pilotage </w:t>
      </w:r>
      <w:r w:rsidR="00F024FF">
        <w:t>(24/02/2022)</w:t>
      </w:r>
      <w:r w:rsidR="00721D1C">
        <w:t xml:space="preserve">. Nous proposerons qu’ils puissent </w:t>
      </w:r>
      <w:r w:rsidR="001B4826">
        <w:t>être</w:t>
      </w:r>
      <w:r w:rsidR="00721D1C">
        <w:t xml:space="preserve"> ajustés jusqu’à la déclinaison définitive </w:t>
      </w:r>
      <w:r w:rsidR="004B3039">
        <w:t>du programme d’actions. En effet, sans remettre en cause la finalité des objectifs</w:t>
      </w:r>
      <w:r w:rsidR="001B4826">
        <w:t xml:space="preserve"> visés, il sera potentiellement judicieux de reformuler</w:t>
      </w:r>
      <w:r w:rsidR="00DE6075">
        <w:t xml:space="preserve"> des objectifs</w:t>
      </w:r>
      <w:r w:rsidR="004B3039">
        <w:t xml:space="preserve"> en fonction des actions définies</w:t>
      </w:r>
      <w:r w:rsidR="00F024FF">
        <w:t xml:space="preserve"> </w:t>
      </w:r>
      <w:r w:rsidR="00DE6075">
        <w:t>(risques de redondance, manque de précision, …).</w:t>
      </w:r>
    </w:p>
    <w:p w14:paraId="7E490B22" w14:textId="3643FE3A" w:rsidR="001C2E91" w:rsidRPr="001C2E91" w:rsidRDefault="005711B8" w:rsidP="008A7D69">
      <w:pPr>
        <w:jc w:val="both"/>
      </w:pPr>
      <w:r>
        <w:t xml:space="preserve">Des groupes de travail seront proposés </w:t>
      </w:r>
      <w:r w:rsidR="00835CF5">
        <w:t>courant 2022 pour définir le</w:t>
      </w:r>
      <w:r w:rsidR="00A201C7">
        <w:t xml:space="preserve"> programme d’action</w:t>
      </w:r>
      <w:r w:rsidR="00835CF5">
        <w:t xml:space="preserve">s </w:t>
      </w:r>
      <w:r w:rsidR="00A201C7">
        <w:t>(</w:t>
      </w:r>
      <w:r w:rsidR="00835CF5">
        <w:t>mesures de gestion associées</w:t>
      </w:r>
      <w:r w:rsidR="00A201C7">
        <w:t>)</w:t>
      </w:r>
      <w:r w:rsidR="00835CF5">
        <w:t>.</w:t>
      </w:r>
    </w:p>
    <w:sectPr w:rsidR="001C2E91" w:rsidRPr="001C2E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639A3" w14:textId="77777777" w:rsidR="0073212B" w:rsidRDefault="0073212B" w:rsidP="00EF0A52">
      <w:pPr>
        <w:spacing w:after="0" w:line="240" w:lineRule="auto"/>
      </w:pPr>
      <w:r>
        <w:separator/>
      </w:r>
    </w:p>
  </w:endnote>
  <w:endnote w:type="continuationSeparator" w:id="0">
    <w:p w14:paraId="1F33FB6A" w14:textId="77777777" w:rsidR="0073212B" w:rsidRDefault="0073212B" w:rsidP="00EF0A52">
      <w:pPr>
        <w:spacing w:after="0" w:line="240" w:lineRule="auto"/>
      </w:pPr>
      <w:r>
        <w:continuationSeparator/>
      </w:r>
    </w:p>
  </w:endnote>
  <w:endnote w:type="continuationNotice" w:id="1">
    <w:p w14:paraId="5CBCD093" w14:textId="77777777" w:rsidR="0073212B" w:rsidRDefault="007321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C560E" w14:textId="77777777" w:rsidR="0073212B" w:rsidRDefault="0073212B" w:rsidP="00EF0A52">
      <w:pPr>
        <w:spacing w:after="0" w:line="240" w:lineRule="auto"/>
      </w:pPr>
      <w:r>
        <w:separator/>
      </w:r>
    </w:p>
  </w:footnote>
  <w:footnote w:type="continuationSeparator" w:id="0">
    <w:p w14:paraId="7FF1E0AA" w14:textId="77777777" w:rsidR="0073212B" w:rsidRDefault="0073212B" w:rsidP="00EF0A52">
      <w:pPr>
        <w:spacing w:after="0" w:line="240" w:lineRule="auto"/>
      </w:pPr>
      <w:r>
        <w:continuationSeparator/>
      </w:r>
    </w:p>
  </w:footnote>
  <w:footnote w:type="continuationNotice" w:id="1">
    <w:p w14:paraId="57532E21" w14:textId="77777777" w:rsidR="0073212B" w:rsidRDefault="0073212B">
      <w:pPr>
        <w:spacing w:after="0" w:line="240" w:lineRule="auto"/>
      </w:pPr>
    </w:p>
  </w:footnote>
  <w:footnote w:id="2">
    <w:p w14:paraId="08F2A3A2" w14:textId="0A6B6CBE" w:rsidR="00EF0A52" w:rsidRDefault="00EF0A52">
      <w:pPr>
        <w:pStyle w:val="Notedebasdepage"/>
      </w:pPr>
      <w:r>
        <w:rPr>
          <w:rStyle w:val="Appelnotedebasdep"/>
        </w:rPr>
        <w:footnoteRef/>
      </w:r>
      <w:r>
        <w:t xml:space="preserve"> Référence au Cahier Technique n° 88 </w:t>
      </w:r>
      <w:hyperlink r:id="rId1" w:history="1">
        <w:r w:rsidRPr="00CB4679">
          <w:rPr>
            <w:rStyle w:val="Lienhypertexte"/>
          </w:rPr>
          <w:t>http://ct88.espaces-naturels.fr/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7B"/>
    <w:multiLevelType w:val="hybridMultilevel"/>
    <w:tmpl w:val="030E8A3E"/>
    <w:lvl w:ilvl="0" w:tplc="21D8B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375B"/>
    <w:multiLevelType w:val="hybridMultilevel"/>
    <w:tmpl w:val="D23CEA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534E3"/>
    <w:multiLevelType w:val="hybridMultilevel"/>
    <w:tmpl w:val="2B6ACA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F5F87"/>
    <w:multiLevelType w:val="hybridMultilevel"/>
    <w:tmpl w:val="2C3450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0F06CB"/>
    <w:rsid w:val="00004B02"/>
    <w:rsid w:val="000074A9"/>
    <w:rsid w:val="00041CE3"/>
    <w:rsid w:val="00050809"/>
    <w:rsid w:val="00051C8C"/>
    <w:rsid w:val="00064D83"/>
    <w:rsid w:val="00073C75"/>
    <w:rsid w:val="000751AC"/>
    <w:rsid w:val="00076122"/>
    <w:rsid w:val="0009041F"/>
    <w:rsid w:val="000A0873"/>
    <w:rsid w:val="000A5092"/>
    <w:rsid w:val="000B3BDF"/>
    <w:rsid w:val="000B4681"/>
    <w:rsid w:val="00116892"/>
    <w:rsid w:val="001217FA"/>
    <w:rsid w:val="0014077F"/>
    <w:rsid w:val="001518EE"/>
    <w:rsid w:val="001612BC"/>
    <w:rsid w:val="00170115"/>
    <w:rsid w:val="0018102D"/>
    <w:rsid w:val="00184AE9"/>
    <w:rsid w:val="00197584"/>
    <w:rsid w:val="001B0ED5"/>
    <w:rsid w:val="001B29DA"/>
    <w:rsid w:val="001B4826"/>
    <w:rsid w:val="001B6614"/>
    <w:rsid w:val="001C02B4"/>
    <w:rsid w:val="001C2E91"/>
    <w:rsid w:val="001C3D65"/>
    <w:rsid w:val="001C5708"/>
    <w:rsid w:val="001D05E4"/>
    <w:rsid w:val="001D23BC"/>
    <w:rsid w:val="001E767D"/>
    <w:rsid w:val="0020437E"/>
    <w:rsid w:val="002063F4"/>
    <w:rsid w:val="002069C3"/>
    <w:rsid w:val="00206C54"/>
    <w:rsid w:val="002247B4"/>
    <w:rsid w:val="00236C99"/>
    <w:rsid w:val="0024073B"/>
    <w:rsid w:val="002476E7"/>
    <w:rsid w:val="00247F38"/>
    <w:rsid w:val="00250882"/>
    <w:rsid w:val="002579DE"/>
    <w:rsid w:val="002641D6"/>
    <w:rsid w:val="00265B8C"/>
    <w:rsid w:val="00266C41"/>
    <w:rsid w:val="0027137B"/>
    <w:rsid w:val="002A0DA4"/>
    <w:rsid w:val="002A246C"/>
    <w:rsid w:val="002B707A"/>
    <w:rsid w:val="002C7EED"/>
    <w:rsid w:val="002D38BD"/>
    <w:rsid w:val="002D4404"/>
    <w:rsid w:val="00307454"/>
    <w:rsid w:val="00341B92"/>
    <w:rsid w:val="003439C3"/>
    <w:rsid w:val="0036057A"/>
    <w:rsid w:val="003663B5"/>
    <w:rsid w:val="00371C80"/>
    <w:rsid w:val="003C0392"/>
    <w:rsid w:val="003C3D7D"/>
    <w:rsid w:val="003C5893"/>
    <w:rsid w:val="003E3D9E"/>
    <w:rsid w:val="003F4CE9"/>
    <w:rsid w:val="003F711F"/>
    <w:rsid w:val="004130EC"/>
    <w:rsid w:val="0043123A"/>
    <w:rsid w:val="00442D84"/>
    <w:rsid w:val="00476701"/>
    <w:rsid w:val="004B03EC"/>
    <w:rsid w:val="004B3039"/>
    <w:rsid w:val="004B4B80"/>
    <w:rsid w:val="004C3360"/>
    <w:rsid w:val="004D39E7"/>
    <w:rsid w:val="004F7744"/>
    <w:rsid w:val="00535CE9"/>
    <w:rsid w:val="00544B48"/>
    <w:rsid w:val="005562AA"/>
    <w:rsid w:val="005711B8"/>
    <w:rsid w:val="0058038E"/>
    <w:rsid w:val="005B1C36"/>
    <w:rsid w:val="005B1D3D"/>
    <w:rsid w:val="005D04EE"/>
    <w:rsid w:val="005D181D"/>
    <w:rsid w:val="005E5BEC"/>
    <w:rsid w:val="00623919"/>
    <w:rsid w:val="006638B0"/>
    <w:rsid w:val="0067126F"/>
    <w:rsid w:val="00675A00"/>
    <w:rsid w:val="00685BF1"/>
    <w:rsid w:val="006952A3"/>
    <w:rsid w:val="006954C1"/>
    <w:rsid w:val="006959ED"/>
    <w:rsid w:val="00695D31"/>
    <w:rsid w:val="006E00B5"/>
    <w:rsid w:val="006E6492"/>
    <w:rsid w:val="006F01E3"/>
    <w:rsid w:val="007008E0"/>
    <w:rsid w:val="00721D1C"/>
    <w:rsid w:val="007273F5"/>
    <w:rsid w:val="0073212B"/>
    <w:rsid w:val="00750BD0"/>
    <w:rsid w:val="00756E37"/>
    <w:rsid w:val="007628F2"/>
    <w:rsid w:val="007709C6"/>
    <w:rsid w:val="00780012"/>
    <w:rsid w:val="0078157E"/>
    <w:rsid w:val="0078374B"/>
    <w:rsid w:val="00784B28"/>
    <w:rsid w:val="00785F10"/>
    <w:rsid w:val="00793FD9"/>
    <w:rsid w:val="0079684B"/>
    <w:rsid w:val="007C4F30"/>
    <w:rsid w:val="007D69FE"/>
    <w:rsid w:val="007D78BC"/>
    <w:rsid w:val="007F557D"/>
    <w:rsid w:val="00806B38"/>
    <w:rsid w:val="00816172"/>
    <w:rsid w:val="00835CF5"/>
    <w:rsid w:val="00841E25"/>
    <w:rsid w:val="00852362"/>
    <w:rsid w:val="00860BE6"/>
    <w:rsid w:val="0086530B"/>
    <w:rsid w:val="00867FBC"/>
    <w:rsid w:val="008A367E"/>
    <w:rsid w:val="008A7D69"/>
    <w:rsid w:val="008B04EB"/>
    <w:rsid w:val="008B32F1"/>
    <w:rsid w:val="008C47DE"/>
    <w:rsid w:val="008C69D3"/>
    <w:rsid w:val="008E53B3"/>
    <w:rsid w:val="008F3AC0"/>
    <w:rsid w:val="008F6CE8"/>
    <w:rsid w:val="009454CE"/>
    <w:rsid w:val="009635C3"/>
    <w:rsid w:val="009665C2"/>
    <w:rsid w:val="009710BE"/>
    <w:rsid w:val="00980B74"/>
    <w:rsid w:val="009861A8"/>
    <w:rsid w:val="009A001A"/>
    <w:rsid w:val="009B2963"/>
    <w:rsid w:val="009D4535"/>
    <w:rsid w:val="00A0348D"/>
    <w:rsid w:val="00A14F08"/>
    <w:rsid w:val="00A201C7"/>
    <w:rsid w:val="00A55A5D"/>
    <w:rsid w:val="00A76F72"/>
    <w:rsid w:val="00AA5C0C"/>
    <w:rsid w:val="00AE2B4B"/>
    <w:rsid w:val="00AE4535"/>
    <w:rsid w:val="00AF3675"/>
    <w:rsid w:val="00AF5638"/>
    <w:rsid w:val="00B03004"/>
    <w:rsid w:val="00B05ABA"/>
    <w:rsid w:val="00B338F7"/>
    <w:rsid w:val="00B66AA9"/>
    <w:rsid w:val="00B73A91"/>
    <w:rsid w:val="00BA34E7"/>
    <w:rsid w:val="00BB483C"/>
    <w:rsid w:val="00BC0161"/>
    <w:rsid w:val="00BD7764"/>
    <w:rsid w:val="00BE7772"/>
    <w:rsid w:val="00C01424"/>
    <w:rsid w:val="00C173B5"/>
    <w:rsid w:val="00C2309A"/>
    <w:rsid w:val="00C24786"/>
    <w:rsid w:val="00C41CDB"/>
    <w:rsid w:val="00C62134"/>
    <w:rsid w:val="00C6245B"/>
    <w:rsid w:val="00CA7FD9"/>
    <w:rsid w:val="00CB120C"/>
    <w:rsid w:val="00CB458F"/>
    <w:rsid w:val="00CC2C59"/>
    <w:rsid w:val="00D329D2"/>
    <w:rsid w:val="00D412C9"/>
    <w:rsid w:val="00D45237"/>
    <w:rsid w:val="00D51077"/>
    <w:rsid w:val="00D80F5B"/>
    <w:rsid w:val="00D858AA"/>
    <w:rsid w:val="00D96716"/>
    <w:rsid w:val="00DA60F3"/>
    <w:rsid w:val="00DB3AF9"/>
    <w:rsid w:val="00DC10FB"/>
    <w:rsid w:val="00DE172A"/>
    <w:rsid w:val="00DE6075"/>
    <w:rsid w:val="00DF7857"/>
    <w:rsid w:val="00E26E61"/>
    <w:rsid w:val="00E414BD"/>
    <w:rsid w:val="00E43C61"/>
    <w:rsid w:val="00E6224B"/>
    <w:rsid w:val="00E62AAE"/>
    <w:rsid w:val="00E65581"/>
    <w:rsid w:val="00E85EF7"/>
    <w:rsid w:val="00EC51D6"/>
    <w:rsid w:val="00ED16A5"/>
    <w:rsid w:val="00EE2804"/>
    <w:rsid w:val="00EE4D6D"/>
    <w:rsid w:val="00EE7089"/>
    <w:rsid w:val="00EF0A52"/>
    <w:rsid w:val="00F00991"/>
    <w:rsid w:val="00F024FF"/>
    <w:rsid w:val="00F31F26"/>
    <w:rsid w:val="00F33342"/>
    <w:rsid w:val="00F33F81"/>
    <w:rsid w:val="00F505FC"/>
    <w:rsid w:val="00F510FF"/>
    <w:rsid w:val="00F5464E"/>
    <w:rsid w:val="00F756C2"/>
    <w:rsid w:val="00F76038"/>
    <w:rsid w:val="00F77018"/>
    <w:rsid w:val="00F84057"/>
    <w:rsid w:val="00F85F54"/>
    <w:rsid w:val="00FA0453"/>
    <w:rsid w:val="00FC5535"/>
    <w:rsid w:val="00FC6C7E"/>
    <w:rsid w:val="00FE4E62"/>
    <w:rsid w:val="00FF370C"/>
    <w:rsid w:val="560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5984"/>
  <w15:chartTrackingRefBased/>
  <w15:docId w15:val="{53C84F2E-F31D-4B2F-9E0C-E10E60A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5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5E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5EF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0A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0A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0A5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AF5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auGrille1Clair-Accentuation1">
    <w:name w:val="Grid Table 1 Light Accent 1"/>
    <w:basedOn w:val="TableauNormal"/>
    <w:uiPriority w:val="46"/>
    <w:rsid w:val="00073C7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073C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47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54C1"/>
  </w:style>
  <w:style w:type="paragraph" w:styleId="Pieddepage">
    <w:name w:val="footer"/>
    <w:basedOn w:val="Normal"/>
    <w:link w:val="PieddepageCar"/>
    <w:uiPriority w:val="99"/>
    <w:semiHidden/>
    <w:unhideWhenUsed/>
    <w:rsid w:val="006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54C1"/>
  </w:style>
  <w:style w:type="table" w:styleId="Grilledutableau">
    <w:name w:val="Table Grid"/>
    <w:basedOn w:val="TableauNormal"/>
    <w:uiPriority w:val="39"/>
    <w:rsid w:val="0069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54C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954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95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DF7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d.ofb.fr/share/s/mLXwEcY6SAaNKbKxECclCw" TargetMode="External"/><Relationship Id="rId18" Type="http://schemas.openxmlformats.org/officeDocument/2006/relationships/hyperlink" Target="https://ged.ofb.fr/share/s/GaufBYOjTbuY1xu17BjjX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ged.ofb.fr/share/s/r9XXtsSJSwSjj1hE0nQVI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ed.ofb.fr/share/s/b9MICnByTMywTLAttdh_d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ged.ofb.fr/share/s/euyWT0JqR0-dQRHbTFhXi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d.ofb.fr/share/s/YEsSBpUPSwOVDs8AiAKsY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t88.espaces-naturel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6BD7CA377E349AACBF239F810BB81" ma:contentTypeVersion="9" ma:contentTypeDescription="Crée un document." ma:contentTypeScope="" ma:versionID="e9dfe2e1b5b2e57c73ca3ff2e732822e">
  <xsd:schema xmlns:xsd="http://www.w3.org/2001/XMLSchema" xmlns:xs="http://www.w3.org/2001/XMLSchema" xmlns:p="http://schemas.microsoft.com/office/2006/metadata/properties" xmlns:ns2="b007bcab-54a1-4660-b1ad-d114a391c0fe" targetNamespace="http://schemas.microsoft.com/office/2006/metadata/properties" ma:root="true" ma:fieldsID="7e76a39bc962270f82a19a49dc34bd80" ns2:_="">
    <xsd:import namespace="b007bcab-54a1-4660-b1ad-d114a391c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bcab-54a1-4660-b1ad-d114a391c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A9DDF-D340-4BD5-BA6A-BE506CA08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80F0B4-FCC4-4435-868D-99D8604DF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202B0-D82C-422F-B80F-46D2C81A6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3D533F-E4E6-48F8-A94D-E7BBC1C91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bcab-54a1-4660-b1ad-d114a391c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3</Pages>
  <Words>1096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Lebreton</dc:creator>
  <cp:keywords/>
  <dc:description/>
  <cp:lastModifiedBy>Aurore</cp:lastModifiedBy>
  <cp:revision>97</cp:revision>
  <dcterms:created xsi:type="dcterms:W3CDTF">2022-01-04T10:49:00Z</dcterms:created>
  <dcterms:modified xsi:type="dcterms:W3CDTF">2022-01-21T13:51:00Z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0x0101006DF6BD7CA377E349AACBF239F810BB81</vt:lpwstr>
  </property>
</Properties>
</file>